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b w:val="1"/>
          <w:color w:val="37373c"/>
          <w:sz w:val="28"/>
          <w:szCs w:val="28"/>
          <w:shd w:fill="f8f8f9" w:val="clear"/>
        </w:rPr>
      </w:pPr>
      <w:r w:rsidDel="00000000" w:rsidR="00000000" w:rsidRPr="00000000">
        <w:rPr>
          <w:rFonts w:ascii="Helvetica Neue" w:cs="Helvetica Neue" w:eastAsia="Helvetica Neue" w:hAnsi="Helvetica Neue"/>
          <w:b w:val="1"/>
          <w:color w:val="37373c"/>
          <w:sz w:val="28"/>
          <w:szCs w:val="28"/>
          <w:shd w:fill="f8f8f9" w:val="clear"/>
          <w:rtl w:val="0"/>
        </w:rPr>
        <w:t xml:space="preserve">GDS, Legacy IT Video: Technical Business Case</w:t>
      </w:r>
    </w:p>
    <w:p w:rsidR="00000000" w:rsidDel="00000000" w:rsidP="00000000" w:rsidRDefault="00000000" w:rsidRPr="00000000" w14:paraId="00000002">
      <w:pPr>
        <w:shd w:fill="ffffff" w:val="clear"/>
        <w:spacing w:after="240" w:before="24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Link to subtitled Video: </w:t>
      </w:r>
      <w:r w:rsidDel="00000000" w:rsidR="00000000" w:rsidRPr="00000000">
        <w:rPr>
          <w:rFonts w:ascii="Helvetica Neue" w:cs="Helvetica Neue" w:eastAsia="Helvetica Neue" w:hAnsi="Helvetica Neue"/>
          <w:rtl w:val="0"/>
        </w:rPr>
        <w:br w:type="textWrapping"/>
      </w:r>
      <w:hyperlink r:id="rId7">
        <w:r w:rsidDel="00000000" w:rsidR="00000000" w:rsidRPr="00000000">
          <w:rPr>
            <w:rFonts w:ascii="Arial" w:cs="Arial" w:eastAsia="Arial" w:hAnsi="Arial"/>
            <w:color w:val="800080"/>
            <w:sz w:val="22"/>
            <w:szCs w:val="22"/>
            <w:highlight w:val="white"/>
            <w:u w:val="single"/>
            <w:rtl w:val="0"/>
          </w:rPr>
          <w:t xml:space="preserve">https://design102.wistia.com/medias/7gcuhuysfu</w:t>
        </w:r>
      </w:hyperlink>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rtl w:val="0"/>
        </w:rPr>
        <w:t xml:space="preserve">With thanks to:</w:t>
      </w:r>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sz w:val="20"/>
          <w:szCs w:val="20"/>
          <w:rtl w:val="0"/>
        </w:rPr>
        <w:t xml:space="preserve">Tyronne Fisher - CDDO, Senior Technology Advisor</w:t>
      </w:r>
    </w:p>
    <w:p w:rsidR="00000000" w:rsidDel="00000000" w:rsidP="00000000" w:rsidRDefault="00000000" w:rsidRPr="00000000" w14:paraId="00000004">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Malcolm McKee - DEFRA, CTO</w:t>
      </w:r>
    </w:p>
    <w:p w:rsidR="00000000" w:rsidDel="00000000" w:rsidP="00000000" w:rsidRDefault="00000000" w:rsidRPr="00000000" w14:paraId="00000005">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Gillian Stewart - MHCLG, CTO</w:t>
      </w:r>
    </w:p>
    <w:p w:rsidR="00000000" w:rsidDel="00000000" w:rsidP="00000000" w:rsidRDefault="00000000" w:rsidRPr="00000000" w14:paraId="00000006">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Rehana Ramesh - Brent Council, Digital Transformation Lead</w:t>
      </w:r>
    </w:p>
    <w:p w:rsidR="00000000" w:rsidDel="00000000" w:rsidP="00000000" w:rsidRDefault="00000000" w:rsidRPr="00000000" w14:paraId="00000007">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Kirsty Sharp - Cabinet Office, Deputy Head Critical and Emerging Tech</w:t>
      </w:r>
    </w:p>
    <w:p w:rsidR="00000000" w:rsidDel="00000000" w:rsidP="00000000" w:rsidRDefault="00000000" w:rsidRPr="00000000" w14:paraId="00000008">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Andrew Raynes - CIO, Royal Papworth Hospital</w:t>
      </w:r>
    </w:p>
    <w:p w:rsidR="00000000" w:rsidDel="00000000" w:rsidP="00000000" w:rsidRDefault="00000000" w:rsidRPr="00000000" w14:paraId="00000009">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Beverely Jandziol - GCF, Commercial Specialist </w:t>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Legacy IT: Technical Business Case</w:t>
      </w: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Understanding the technical side of legacy IT</w:t>
      </w:r>
    </w:p>
    <w:p w:rsidR="00000000" w:rsidDel="00000000" w:rsidP="00000000" w:rsidRDefault="00000000" w:rsidRPr="00000000" w14:paraId="0000001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Tyronne Fisher (TF) (0.08)</w:t>
      </w: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Hi, my name’s Tyronne Fisher, and I’m a Senior Technology Advisor for the Central Digital and Data Office in the Cabinet Office. My role is to support government make better technical and digital decisions. This video is for leaders across all the functional areas, to understand their responsibility and accountability, to improve the government’s IT estate. You will hear from leaders across government on their priorities and how they have addressed this. </w:t>
      </w:r>
    </w:p>
    <w:p w:rsidR="00000000" w:rsidDel="00000000" w:rsidP="00000000" w:rsidRDefault="00000000" w:rsidRPr="00000000" w14:paraId="0000001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Understanding what l</w:t>
      </w:r>
      <w:r w:rsidDel="00000000" w:rsidR="00000000" w:rsidRPr="00000000">
        <w:rPr>
          <w:rFonts w:ascii="Helvetica Neue" w:cs="Helvetica Neue" w:eastAsia="Helvetica Neue" w:hAnsi="Helvetica Neue"/>
          <w:b w:val="1"/>
          <w:rtl w:val="0"/>
        </w:rPr>
        <w:t xml:space="preserve">egacy</w:t>
      </w:r>
      <w:r w:rsidDel="00000000" w:rsidR="00000000" w:rsidRPr="00000000">
        <w:rPr>
          <w:rFonts w:ascii="Helvetica Neue" w:cs="Helvetica Neue" w:eastAsia="Helvetica Neue" w:hAnsi="Helvetica Neue"/>
          <w:b w:val="1"/>
          <w:rtl w:val="0"/>
        </w:rPr>
        <w:t xml:space="preserve"> IT is and what you’re responsible for</w:t>
      </w:r>
    </w:p>
    <w:p w:rsidR="00000000" w:rsidDel="00000000" w:rsidP="00000000" w:rsidRDefault="00000000" w:rsidRPr="00000000" w14:paraId="0000001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(0.40)</w:t>
      </w:r>
    </w:p>
    <w:p w:rsidR="00000000" w:rsidDel="00000000" w:rsidP="00000000" w:rsidRDefault="00000000" w:rsidRPr="00000000" w14:paraId="0000001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leaders have a responsibility to understand what legacy IT is within their estate, and what that means.  </w:t>
      </w:r>
    </w:p>
    <w:p w:rsidR="00000000" w:rsidDel="00000000" w:rsidP="00000000" w:rsidRDefault="00000000" w:rsidRPr="00000000" w14:paraId="0000001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Malcolm McKee (MM) (0.47)</w:t>
      </w:r>
    </w:p>
    <w:p w:rsidR="00000000" w:rsidDel="00000000" w:rsidP="00000000" w:rsidRDefault="00000000" w:rsidRPr="00000000" w14:paraId="0000001C">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 legacy IT is old IT that we haven’t invested in maintaining or upgrading. And you can’t really separate legacy IT from technical debt. So technical debt is the money that you haven’t spent on upgrading that IT. And if you keep pushing technical debt to the right, keep pushing it into the next year, then it stacks up and up and up. And, before too long, your IT turns into a condition that, it’s really difficult to get out that spiral whereby it’s breaking all the time, you’re spending all of that funding on getting out of that legacy debt cycle and it’s difficult to bring it back into a working condition that’s current and supported. </w:t>
      </w:r>
    </w:p>
    <w:p w:rsidR="00000000" w:rsidDel="00000000" w:rsidP="00000000" w:rsidRDefault="00000000" w:rsidRPr="00000000" w14:paraId="0000001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Explaining l</w:t>
      </w:r>
      <w:r w:rsidDel="00000000" w:rsidR="00000000" w:rsidRPr="00000000">
        <w:rPr>
          <w:rFonts w:ascii="Helvetica Neue" w:cs="Helvetica Neue" w:eastAsia="Helvetica Neue" w:hAnsi="Helvetica Neue"/>
          <w:b w:val="1"/>
          <w:rtl w:val="0"/>
        </w:rPr>
        <w:t xml:space="preserve">egacy</w:t>
      </w:r>
      <w:r w:rsidDel="00000000" w:rsidR="00000000" w:rsidRPr="00000000">
        <w:rPr>
          <w:rFonts w:ascii="Helvetica Neue" w:cs="Helvetica Neue" w:eastAsia="Helvetica Neue" w:hAnsi="Helvetica Neue"/>
          <w:b w:val="1"/>
          <w:rtl w:val="0"/>
        </w:rPr>
        <w:t xml:space="preserve"> IT to everyone</w:t>
      </w:r>
    </w:p>
    <w:p w:rsidR="00000000" w:rsidDel="00000000" w:rsidP="00000000" w:rsidRDefault="00000000" w:rsidRPr="00000000" w14:paraId="0000002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(1.40)</w:t>
      </w:r>
    </w:p>
    <w:p w:rsidR="00000000" w:rsidDel="00000000" w:rsidP="00000000" w:rsidRDefault="00000000" w:rsidRPr="00000000" w14:paraId="0000002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achieve senior level buy-in and confidence of investment, leaders need to communicate what they’re doing to non-technical people. </w:t>
      </w:r>
    </w:p>
    <w:p w:rsidR="00000000" w:rsidDel="00000000" w:rsidP="00000000" w:rsidRDefault="00000000" w:rsidRPr="00000000" w14:paraId="0000002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Gillian Stewart (1.48)</w:t>
      </w:r>
    </w:p>
    <w:p w:rsidR="00000000" w:rsidDel="00000000" w:rsidP="00000000" w:rsidRDefault="00000000" w:rsidRPr="00000000" w14:paraId="0000002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that the key ingredients around the technical business case is for it not to be technical. The real thing is about what’s the problem that you’re trying to fix, what’s the outcome that you’re trying to get to? And then, how you do it – so those technical intricacies, they’re not actually as important, because the people who are reading these business cases, in my experience people in finance and DGs and things like that, they’re not terribly interested in how you’re going to approach the problem, they’re interested in what the solution is and what they’re going to get from a benefit perspective. So, I would almost kind of seek to decouple those technical aspects and focus in on the problem and what the solution is that we’re going to alleviate. </w:t>
      </w:r>
    </w:p>
    <w:p w:rsidR="00000000" w:rsidDel="00000000" w:rsidP="00000000" w:rsidRDefault="00000000" w:rsidRPr="00000000" w14:paraId="0000002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Rehana Ramesh (RR) (2.30)</w:t>
      </w:r>
    </w:p>
    <w:p w:rsidR="00000000" w:rsidDel="00000000" w:rsidP="00000000" w:rsidRDefault="00000000" w:rsidRPr="00000000" w14:paraId="0000002A">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When we are doing pilots, when we put a proposal forward to our board, you know, to our sponsor, to say this is what we want to do, we think we can scale it up, we connect it back to our digital strategy. Again it becomes like a gateway for us, it’s a checkpoint.</w:t>
      </w:r>
    </w:p>
    <w:p w:rsidR="00000000" w:rsidDel="00000000" w:rsidP="00000000" w:rsidRDefault="00000000" w:rsidRPr="00000000" w14:paraId="0000002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Kirsty Sharp (KS) (2.47)</w:t>
      </w:r>
    </w:p>
    <w:p w:rsidR="00000000" w:rsidDel="00000000" w:rsidP="00000000" w:rsidRDefault="00000000" w:rsidRPr="00000000" w14:paraId="0000002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That’s particularly important when we’re going through fiscal years, so when we’re looking at spending reviews. So having that really good evidence base as to why it is that you need that investment in legacy IT systems, rather than more social workers, more police, more whatever it is. They’re hard decisions for people to make, but using that data helps that. </w:t>
      </w:r>
    </w:p>
    <w:p w:rsidR="00000000" w:rsidDel="00000000" w:rsidP="00000000" w:rsidRDefault="00000000" w:rsidRPr="00000000" w14:paraId="0000003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Understanding the risk of systems failing</w:t>
      </w:r>
    </w:p>
    <w:p w:rsidR="00000000" w:rsidDel="00000000" w:rsidP="00000000" w:rsidRDefault="00000000" w:rsidRPr="00000000" w14:paraId="0000003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3">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(3.14)</w:t>
      </w:r>
    </w:p>
    <w:p w:rsidR="00000000" w:rsidDel="00000000" w:rsidP="00000000" w:rsidRDefault="00000000" w:rsidRPr="00000000" w14:paraId="00000034">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older IT becomes, the more expensive it is to maintain, and the more likely it is to fail. This risk is a central point of accountability for leaders.</w:t>
      </w:r>
    </w:p>
    <w:p w:rsidR="00000000" w:rsidDel="00000000" w:rsidP="00000000" w:rsidRDefault="00000000" w:rsidRPr="00000000" w14:paraId="0000003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(3.25)</w:t>
      </w:r>
    </w:p>
    <w:p w:rsidR="00000000" w:rsidDel="00000000" w:rsidP="00000000" w:rsidRDefault="00000000" w:rsidRPr="00000000" w14:paraId="00000038">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You’ve got to look at the risk of obsolescence as well. And obsolescence means that something is likely to break in-service. So there’s the twin risk of something breaking in-service, and something being subject to a cyber-security attack. And the cyber-security angle is only half of the debate because things that break in-service, just because they’re obsolete or the technology just falls apart, present an immediate business risk – the service is just not working. With a cyber-security attack it tends to be things like, just things not being patched, not being up to date. Whenever something is not supported anymore there’s a growing list of vulnerabilities. </w:t>
      </w:r>
    </w:p>
    <w:p w:rsidR="00000000" w:rsidDel="00000000" w:rsidP="00000000" w:rsidRDefault="00000000" w:rsidRPr="00000000" w14:paraId="0000003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Understanding the risk of systems being hacked</w:t>
      </w:r>
    </w:p>
    <w:p w:rsidR="00000000" w:rsidDel="00000000" w:rsidP="00000000" w:rsidRDefault="00000000" w:rsidRPr="00000000" w14:paraId="0000003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(4.11)</w:t>
      </w:r>
    </w:p>
    <w:p w:rsidR="00000000" w:rsidDel="00000000" w:rsidP="00000000" w:rsidRDefault="00000000" w:rsidRPr="00000000" w14:paraId="0000003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Legacy IT is a back door in. A cyber-attack is a case of when, not if. And leaders must be prepared and working to achieve investment to fix the problem.</w:t>
      </w:r>
    </w:p>
    <w:p w:rsidR="00000000" w:rsidDel="00000000" w:rsidP="00000000" w:rsidRDefault="00000000" w:rsidRPr="00000000" w14:paraId="0000004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Andrew Raynes (4.22)</w:t>
      </w:r>
    </w:p>
    <w:p w:rsidR="00000000" w:rsidDel="00000000" w:rsidP="00000000" w:rsidRDefault="00000000" w:rsidRPr="00000000" w14:paraId="0000004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3">
      <w:pPr>
        <w:rPr>
          <w:rFonts w:ascii="Helvetica Neue" w:cs="Helvetica Neue" w:eastAsia="Helvetica Neue" w:hAnsi="Helvetica Neue"/>
        </w:rPr>
      </w:pPr>
      <w:bookmarkStart w:colFirst="0" w:colLast="0" w:name="_heading=h.gjdgxs" w:id="0"/>
      <w:bookmarkEnd w:id="0"/>
      <w:r w:rsidDel="00000000" w:rsidR="00000000" w:rsidRPr="00000000">
        <w:rPr>
          <w:rFonts w:ascii="Helvetica Neue" w:cs="Helvetica Neue" w:eastAsia="Helvetica Neue" w:hAnsi="Helvetica Neue"/>
          <w:rtl w:val="0"/>
        </w:rPr>
        <w:t xml:space="preserve">Cyber security is really important in every organisation. Increasingly over the last few years we’ve seen impacts on health and care. WannaCry was a huge example of this, and I think it has made a massive reaction to the way organisations respond, in terms of preparedness, their resilience, looking at business continuity and disaster recovery for example.</w:t>
      </w:r>
    </w:p>
    <w:p w:rsidR="00000000" w:rsidDel="00000000" w:rsidP="00000000" w:rsidRDefault="00000000" w:rsidRPr="00000000" w14:paraId="0000004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KS (4.47)</w:t>
      </w:r>
    </w:p>
    <w:p w:rsidR="00000000" w:rsidDel="00000000" w:rsidP="00000000" w:rsidRDefault="00000000" w:rsidRPr="00000000" w14:paraId="0000004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Some of the key threats of legacy IT to cyber security are that we don’t address legacy IT. And I know that sounds quite silly, but we go after the shiny new thing and we pop that on top of legacy IT – so whether that’s investing in different types of infrastructure, so new laptops and things like that, without actually correcting some of the key cyber-security issues around legacy IT. When we put new technology, such as Connected Places, onto some really old legacy IT, we are vulnerable from the get go. </w:t>
      </w:r>
    </w:p>
    <w:p w:rsidR="00000000" w:rsidDel="00000000" w:rsidP="00000000" w:rsidRDefault="00000000" w:rsidRPr="00000000" w14:paraId="0000004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Know your IT estate</w:t>
      </w:r>
    </w:p>
    <w:p w:rsidR="00000000" w:rsidDel="00000000" w:rsidP="00000000" w:rsidRDefault="00000000" w:rsidRPr="00000000" w14:paraId="0000004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4B">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(5.32)</w:t>
      </w:r>
    </w:p>
    <w:p w:rsidR="00000000" w:rsidDel="00000000" w:rsidP="00000000" w:rsidRDefault="00000000" w:rsidRPr="00000000" w14:paraId="0000004C">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Leaders should have a process for knowing the state of all assets at all times. Asset registers have been highlighted as central to help build the full cost of the picture. Consider risk mitigation and to guide prioritisation. </w:t>
      </w:r>
    </w:p>
    <w:p w:rsidR="00000000" w:rsidDel="00000000" w:rsidP="00000000" w:rsidRDefault="00000000" w:rsidRPr="00000000" w14:paraId="0000004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F">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(5.47)</w:t>
      </w:r>
    </w:p>
    <w:p w:rsidR="00000000" w:rsidDel="00000000" w:rsidP="00000000" w:rsidRDefault="00000000" w:rsidRPr="00000000" w14:paraId="00000050">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Starting with an asset-based view: So I estimated for Defra that an IT asset is about a billion pound asset – and that’s a sort of replacement value, if we were to replace the whole thing again. And on that basis we should be spending about £100 million a year running it and about £100 million a year upgrading, replacing and maintaining it. And when you squeeze down that upgrade, replace and maintain, you’re actually saving up that spend for future years. And by drawing out these pictures about the size of the asset, the size of the money we should be spending maintaining that asset, and how much we were deferring for future years, and how that was stacking up in technical debt – we’ve started to build that picture for our senior leaders about how technical debt builds up and how we need to address it in SR20. </w:t>
      </w:r>
    </w:p>
    <w:p w:rsidR="00000000" w:rsidDel="00000000" w:rsidP="00000000" w:rsidRDefault="00000000" w:rsidRPr="00000000" w14:paraId="0000005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3">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(RR) (6.40)</w:t>
      </w:r>
    </w:p>
    <w:p w:rsidR="00000000" w:rsidDel="00000000" w:rsidP="00000000" w:rsidRDefault="00000000" w:rsidRPr="00000000" w14:paraId="0000005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One of the biggest workstreams, again, within the programme, is reviewing our applications. So we had probably around 160 to 170 applications. We’ve slowly started reducing them and we’re, the way we’re reducing it is we’ve, again, having a very structured and a thought-through manner in which we’re looking at which of those applications need to be either enhanced – because we still need it – or can be moved onto another platform. Or where we have similar systems across the organisation but they all provide the same kind of a function. We’ve also looked at legacy systems where there could be security issues, especially again now in the current climate where cyber security is a huge challenge and a huge risk for any local authority. We’re prioritising applications which are not secure and looking at what do we do if we need to make them more secure – and if we can’t make them more secure, how do we then move that onto a new platform that we already have?</w:t>
      </w:r>
    </w:p>
    <w:p w:rsidR="00000000" w:rsidDel="00000000" w:rsidP="00000000" w:rsidRDefault="00000000" w:rsidRPr="00000000" w14:paraId="0000005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KS (7.46)</w:t>
      </w:r>
    </w:p>
    <w:p w:rsidR="00000000" w:rsidDel="00000000" w:rsidP="00000000" w:rsidRDefault="00000000" w:rsidRPr="00000000" w14:paraId="0000005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When things go wrong, and I’m particularly thinking about responding to an incident, one of the things that is most challenging is not having good asset registers, so not knowing which bits of IT, whether it’s legacy or not, you have on your estate. That really slows us down when we’re trying to think about what the potential impacts could have been and then respond. </w:t>
      </w:r>
    </w:p>
    <w:p w:rsidR="00000000" w:rsidDel="00000000" w:rsidP="00000000" w:rsidRDefault="00000000" w:rsidRPr="00000000" w14:paraId="0000005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Your systems should be in the C</w:t>
      </w:r>
      <w:r w:rsidDel="00000000" w:rsidR="00000000" w:rsidRPr="00000000">
        <w:rPr>
          <w:rFonts w:ascii="Helvetica Neue" w:cs="Helvetica Neue" w:eastAsia="Helvetica Neue" w:hAnsi="Helvetica Neue"/>
          <w:b w:val="1"/>
          <w:rtl w:val="0"/>
        </w:rPr>
        <w:t xml:space="preserve">loud</w:t>
      </w:r>
      <w:r w:rsidDel="00000000" w:rsidR="00000000" w:rsidRPr="00000000">
        <w:rPr>
          <w:rtl w:val="0"/>
        </w:rPr>
      </w:r>
    </w:p>
    <w:p w:rsidR="00000000" w:rsidDel="00000000" w:rsidP="00000000" w:rsidRDefault="00000000" w:rsidRPr="00000000" w14:paraId="0000005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5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(8.12)</w:t>
      </w:r>
    </w:p>
    <w:p w:rsidR="00000000" w:rsidDel="00000000" w:rsidP="00000000" w:rsidRDefault="00000000" w:rsidRPr="00000000" w14:paraId="0000005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should ensure that all systems you manage are in the Cloud, or have a plan to move there. </w:t>
      </w:r>
    </w:p>
    <w:p w:rsidR="00000000" w:rsidDel="00000000" w:rsidP="00000000" w:rsidRDefault="00000000" w:rsidRPr="00000000" w14:paraId="0000006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(8.18)</w:t>
      </w:r>
    </w:p>
    <w:p w:rsidR="00000000" w:rsidDel="00000000" w:rsidP="00000000" w:rsidRDefault="00000000" w:rsidRPr="00000000" w14:paraId="0000006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think about car analogies. If your application is a car and your data is a garage, moving to a modern data centre, or moving to the Cloud, can be a bit like placing your old car in a new garage. It helps to protect the application while it’s in the garage, but as soon as you start using it and moving it around, then actually the old risks are still there. So it’s important when thinking about legacy IT and data centres, to think about the whole stack all the way up. So it’s not just where it’s hosted, but it’s also the middle-ware, the databases, the integration systems that it’s built on, and the application itself. So as part of what we do to address legacy IT, re-hosting it can be the first step in addressing it. </w:t>
      </w:r>
    </w:p>
    <w:p w:rsidR="00000000" w:rsidDel="00000000" w:rsidP="00000000" w:rsidRDefault="00000000" w:rsidRPr="00000000" w14:paraId="0000006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Beverley Jandziol (9.09)</w:t>
      </w:r>
    </w:p>
    <w:p w:rsidR="00000000" w:rsidDel="00000000" w:rsidP="00000000" w:rsidRDefault="00000000" w:rsidRPr="00000000" w14:paraId="0000006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7">
      <w:pPr>
        <w:rPr>
          <w:rFonts w:ascii="Helvetica Neue" w:cs="Helvetica Neue" w:eastAsia="Helvetica Neue" w:hAnsi="Helvetica Neue"/>
        </w:rPr>
      </w:pPr>
      <w:bookmarkStart w:colFirst="0" w:colLast="0" w:name="_heading=h.30j0zll" w:id="1"/>
      <w:bookmarkEnd w:id="1"/>
      <w:r w:rsidDel="00000000" w:rsidR="00000000" w:rsidRPr="00000000">
        <w:rPr>
          <w:rFonts w:ascii="Helvetica Neue" w:cs="Helvetica Neue" w:eastAsia="Helvetica Neue" w:hAnsi="Helvetica Neue"/>
          <w:rtl w:val="0"/>
        </w:rPr>
        <w:t xml:space="preserve">Just because you’ve got a legacy system with lots of information, doesn’t necessarily mean that all the components should be migrated to the new. This can be a really good opportunity to make sure that you only transfer critical information, and maybe not transfer legacy information that’s not really going to add any value to the organisation. </w:t>
      </w:r>
    </w:p>
    <w:p w:rsidR="00000000" w:rsidDel="00000000" w:rsidP="00000000" w:rsidRDefault="00000000" w:rsidRPr="00000000" w14:paraId="0000006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color w:val="37373c"/>
        </w:rPr>
      </w:pPr>
      <w:r w:rsidDel="00000000" w:rsidR="00000000" w:rsidRPr="00000000">
        <w:rPr>
          <w:rtl w:val="0"/>
        </w:rPr>
      </w:r>
    </w:p>
    <w:p w:rsidR="00000000" w:rsidDel="00000000" w:rsidP="00000000" w:rsidRDefault="00000000" w:rsidRPr="00000000" w14:paraId="0000006A">
      <w:pPr>
        <w:rPr>
          <w:rFonts w:ascii="Helvetica Neue" w:cs="Helvetica Neue" w:eastAsia="Helvetica Neue" w:hAnsi="Helvetica Neue"/>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F56ACF"/>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F56ACF"/>
    <w:rPr>
      <w:rFonts w:ascii="Times New Roman" w:cs="Times New Roman" w:eastAsia="Times New Roman" w:hAnsi="Times New Roman"/>
      <w:b w:val="1"/>
      <w:bCs w:val="1"/>
      <w:kern w:val="36"/>
      <w:sz w:val="48"/>
      <w:szCs w:val="48"/>
    </w:rPr>
  </w:style>
  <w:style w:type="character" w:styleId="CommentReference">
    <w:name w:val="annotation reference"/>
    <w:basedOn w:val="DefaultParagraphFont"/>
    <w:uiPriority w:val="99"/>
    <w:semiHidden w:val="1"/>
    <w:unhideWhenUsed w:val="1"/>
    <w:rsid w:val="00744A30"/>
    <w:rPr>
      <w:sz w:val="16"/>
      <w:szCs w:val="16"/>
    </w:rPr>
  </w:style>
  <w:style w:type="paragraph" w:styleId="CommentText">
    <w:name w:val="annotation text"/>
    <w:basedOn w:val="Normal"/>
    <w:link w:val="CommentTextChar"/>
    <w:uiPriority w:val="99"/>
    <w:semiHidden w:val="1"/>
    <w:unhideWhenUsed w:val="1"/>
    <w:rsid w:val="00744A30"/>
    <w:rPr>
      <w:sz w:val="20"/>
      <w:szCs w:val="20"/>
    </w:rPr>
  </w:style>
  <w:style w:type="character" w:styleId="CommentTextChar" w:customStyle="1">
    <w:name w:val="Comment Text Char"/>
    <w:basedOn w:val="DefaultParagraphFont"/>
    <w:link w:val="CommentText"/>
    <w:uiPriority w:val="99"/>
    <w:semiHidden w:val="1"/>
    <w:rsid w:val="00744A30"/>
    <w:rPr>
      <w:sz w:val="20"/>
      <w:szCs w:val="20"/>
    </w:rPr>
  </w:style>
  <w:style w:type="paragraph" w:styleId="CommentSubject">
    <w:name w:val="annotation subject"/>
    <w:basedOn w:val="CommentText"/>
    <w:next w:val="CommentText"/>
    <w:link w:val="CommentSubjectChar"/>
    <w:uiPriority w:val="99"/>
    <w:semiHidden w:val="1"/>
    <w:unhideWhenUsed w:val="1"/>
    <w:rsid w:val="00744A30"/>
    <w:rPr>
      <w:b w:val="1"/>
      <w:bCs w:val="1"/>
    </w:rPr>
  </w:style>
  <w:style w:type="character" w:styleId="CommentSubjectChar" w:customStyle="1">
    <w:name w:val="Comment Subject Char"/>
    <w:basedOn w:val="CommentTextChar"/>
    <w:link w:val="CommentSubject"/>
    <w:uiPriority w:val="99"/>
    <w:semiHidden w:val="1"/>
    <w:rsid w:val="00744A30"/>
    <w:rPr>
      <w:b w:val="1"/>
      <w:bCs w:val="1"/>
      <w:sz w:val="20"/>
      <w:szCs w:val="20"/>
    </w:rPr>
  </w:style>
  <w:style w:type="paragraph" w:styleId="BalloonText">
    <w:name w:val="Balloon Text"/>
    <w:basedOn w:val="Normal"/>
    <w:link w:val="BalloonTextChar"/>
    <w:uiPriority w:val="99"/>
    <w:semiHidden w:val="1"/>
    <w:unhideWhenUsed w:val="1"/>
    <w:rsid w:val="00744A30"/>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44A30"/>
    <w:rPr>
      <w:rFonts w:ascii="Times New Roman" w:cs="Times New Roman" w:hAnsi="Times New Roman"/>
      <w:sz w:val="18"/>
      <w:szCs w:val="18"/>
    </w:rPr>
  </w:style>
  <w:style w:type="character" w:styleId="Hyperlink">
    <w:name w:val="Hyperlink"/>
    <w:basedOn w:val="DefaultParagraphFont"/>
    <w:uiPriority w:val="99"/>
    <w:unhideWhenUsed w:val="1"/>
    <w:rsid w:val="00184678"/>
    <w:rPr>
      <w:color w:val="0563c1" w:themeColor="hyperlink"/>
      <w:u w:val="single"/>
    </w:rPr>
  </w:style>
  <w:style w:type="character" w:styleId="UnresolvedMention">
    <w:name w:val="Unresolved Mention"/>
    <w:basedOn w:val="DefaultParagraphFont"/>
    <w:uiPriority w:val="99"/>
    <w:semiHidden w:val="1"/>
    <w:unhideWhenUsed w:val="1"/>
    <w:rsid w:val="00184678"/>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sign102.wistia.com/medias/7gcuhuysf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kye2JaCO8KsnZbQ1U/nODvd/Kg==">AMUW2mWslTiPcl9QLOaEIt2OzIOcfIO5M6//A2mTtJ+139Pt8MUJ/TmLSvNZOL9guApSlufoANgEJBywcGBPsB8OfKYHZGJ3kcf8PDIX1vgmkZ3pXE6QwW5ROochXEnInvgY9IBM/QNZ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2021-05-20T07:37:00Z</dcterms:created>
  <dc:creator>Airey, Catherine</dc:creator>
</cp:coreProperties>
</file>